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1700"/>
        <w:jc w:val="center"/>
      </w:pPr>
      <w:r>
        <w:rPr>
          <w:rFonts w:ascii="Aptos Display" w:hAnsi="Aptos Display"/>
          <w:b/>
          <w:color w:val="000000"/>
          <w:sz w:val="64"/>
        </w:rPr>
        <w:t>NGO ImpactGuide</w:t>
      </w:r>
    </w:p>
    <w:p>
      <w:pPr>
        <w:widowControl/>
        <w:jc w:val="center"/>
      </w:pPr>
      <w:r>
        <w:rPr>
          <w:color w:val="000000"/>
          <w:sz w:val="32"/>
        </w:rPr>
        <w:t>An Agentic AI Assistant for Donor Decision Support</w:t>
      </w:r>
    </w:p>
    <w:p>
      <w:pPr>
        <w:widowControl/>
        <w:spacing w:before="760"/>
        <w:jc w:val="center"/>
      </w:pPr>
      <w:r>
        <w:rPr>
          <w:sz w:val="24"/>
        </w:rPr>
        <w:t>BE CSE Mini Project</w:t>
        <w:br/>
        <w:t>Project report and evaluation summary</w:t>
        <w:br/>
        <w:t>September 2026</w:t>
      </w:r>
    </w:p>
    <w:p>
      <w:pPr>
        <w:widowControl/>
        <w:spacing w:before="1300"/>
        <w:jc w:val="center"/>
      </w:pPr>
      <w:r>
        <w:rPr>
          <w:i/>
        </w:rPr>
        <w:t>A locally run decision-support application using curated public information</w:t>
      </w:r>
    </w:p>
    <w:p>
      <w:pPr>
        <w:widowControl/>
      </w:pPr>
      <w:r>
        <w:br w:type="page"/>
      </w:r>
    </w:p>
    <w:p>
      <w:pPr>
        <w:pStyle w:val="Heading1"/>
        <w:widowControl/>
      </w:pPr>
      <w:r>
        <w:t>Abstract</w:t>
      </w:r>
    </w:p>
    <w:p>
      <w:pPr>
        <w:widowControl/>
      </w:pPr>
      <w:r>
        <w:t>Donors who want to support nonprofit work often need to compare scattered descriptions of causes, programs, and operating areas. NGO ImpactGuide is a locally run assistant that helps a donor express preferences, clarify broad requests, search a small curated directory, and compare matching organizations. The system displays source links, source access dates, and caveats alongside results. A bounded controller decides whether to ask a follow-up question, search the local records, or refresh recommendations after a preference change. The core workflow runs without a language model; an optional local Ollama model can assist with preference interpretation and evidence-grounded summaries. The project includes a searchable directory, side-by-side comparison, and local data management. Fifteen automated tests passed in the recorded run. These tests demonstrate software behavior, not donor satisfaction, NGO credibility, donation outcomes, or live model quality. The system is a student-scale decision-support prototype and does not certify organizations or process donations.</w:t>
      </w:r>
    </w:p>
    <w:p>
      <w:pPr>
        <w:pStyle w:val="Heading1"/>
        <w:widowControl/>
      </w:pPr>
      <w:r>
        <w:t>1. Introduction</w:t>
      </w:r>
    </w:p>
    <w:p>
      <w:pPr>
        <w:widowControl/>
      </w:pPr>
      <w:r>
        <w:t>Choosing an organization to support requires matching a donor’s interests with information about real programs. For a student-scale project, the challenge is to make a bounded set of public information easier to explore while being clear about missing or approximate data. NGO ImpactGuide focuses on transparent search and preference-guided comparison rather than financial ratings or impact verification.</w:t>
      </w:r>
    </w:p>
    <w:p>
      <w:pPr>
        <w:widowControl/>
      </w:pPr>
      <w:r>
        <w:t>The application runs on the project owner’s computer and opens in a browser through Streamlit. The local SQLite database stores curated NGO records and any records the owner adds. After setup, the main search and comparison features work offline. Source webpages and optional Ollama functionality may need network access.</w:t>
      </w:r>
    </w:p>
    <w:p>
      <w:pPr>
        <w:pStyle w:val="Heading1"/>
        <w:widowControl/>
      </w:pPr>
      <w:r>
        <w:t>2. Problem Definition</w:t>
      </w:r>
    </w:p>
    <w:p>
      <w:pPr>
        <w:widowControl/>
      </w:pPr>
      <w:r>
        <w:t>Individual donors may have a cause or program in mind but find that NGO information is distributed across organization websites and described in inconsistent language. Manual research requires opening multiple pages, interpreting different terminology, and remembering which organizations match the donor’s location or program preference. A simple keyword chatbot may overlook the need for clarification, structured filtering, and updated recommendations when preferences change.</w:t>
      </w:r>
    </w:p>
    <w:p>
      <w:pPr>
        <w:widowControl/>
      </w:pPr>
      <w:r>
        <w:t>The project addresses this information-navigation problem with a small, curated directory and a bounded agent workflow. It cannot establish which NGO is “best,” validate legal status, verify present-day coverage, or infer donation impact from the available records.</w:t>
      </w:r>
    </w:p>
    <w:p>
      <w:pPr>
        <w:pStyle w:val="Heading2"/>
        <w:widowControl/>
      </w:pPr>
      <w:r>
        <w:t>Project objectives</w:t>
      </w:r>
    </w:p>
    <w:p>
      <w:pPr>
        <w:pStyle w:val="ListBullet"/>
        <w:widowControl/>
      </w:pPr>
      <w:r>
        <w:t>Design a donor-facing workflow that captures cause, program, and location preferences and asks for clarification when a request is too broad.</w:t>
      </w:r>
    </w:p>
    <w:p>
      <w:pPr>
        <w:pStyle w:val="ListBullet"/>
        <w:widowControl/>
      </w:pPr>
      <w:r>
        <w:t>Develop a curated NGO directory with searchable records, visible source references, and a local editor.</w:t>
      </w:r>
    </w:p>
    <w:p>
      <w:pPr>
        <w:pStyle w:val="ListBullet"/>
        <w:widowControl/>
      </w:pPr>
      <w:r>
        <w:t>Implement an agent controller that selects clarification, search, comparison, or refresh actions and shows a concise action trace.</w:t>
      </w:r>
    </w:p>
    <w:p>
      <w:pPr>
        <w:pStyle w:val="ListBullet"/>
        <w:widowControl/>
      </w:pPr>
      <w:r>
        <w:t>Integrate optional local language-model support while keeping deterministic offline behavior available.</w:t>
      </w:r>
    </w:p>
    <w:p>
      <w:pPr>
        <w:pStyle w:val="ListBullet"/>
        <w:widowControl/>
      </w:pPr>
      <w:r>
        <w:t>Evaluate core behavior with automated tests for preference extraction, matching, clarification, database migration, UI flows, and model outage fallback.</w:t>
      </w:r>
    </w:p>
    <w:p>
      <w:pPr>
        <w:pStyle w:val="Heading1"/>
        <w:widowControl/>
      </w:pPr>
      <w:r>
        <w:t>3. Users and Requirements</w:t>
      </w:r>
    </w:p>
    <w:p>
      <w:pPr>
        <w:widowControl/>
      </w:pPr>
      <w:r>
        <w:t>The primary user is an individual donor exploring organizations within the curated sample. The project owner also uses the local data manager to review or update records. A typical donor enters a free-text cause, program, or location request and may answer a follow-up question. Results include matching organizations, a short description, match basis, source link, source date, and any relevant data caveat.</w:t>
      </w:r>
    </w:p>
    <w:tbl>
      <w:tblPr>
        <w:tblStyle w:val="TableGrid"/>
        <w:tblW w:type="auto" w:w="0"/>
        <w:jc w:val="center"/>
        <w:tblLook w:firstColumn="1" w:firstRow="1" w:lastColumn="0" w:lastRow="0" w:noHBand="0" w:noVBand="1" w:val="04A0"/>
      </w:tblPr>
      <w:tblGrid>
        <w:gridCol w:w="4968"/>
        <w:gridCol w:w="4968"/>
      </w:tblGrid>
      <w:tr>
        <w:tc>
          <w:tcPr>
            <w:tcW w:type="dxa" w:w="4968"/>
            <w:vAlign w:val="center"/>
            <w:shd w:fill="12345A"/>
          </w:tcPr>
          <w:p>
            <w:pPr>
              <w:spacing w:after="60"/>
            </w:pPr>
            <w:r>
              <w:rPr>
                <w:b/>
                <w:color w:val="FFFFFF"/>
                <w:sz w:val="18"/>
              </w:rPr>
              <w:t>Requirement</w:t>
            </w:r>
          </w:p>
        </w:tc>
        <w:tc>
          <w:tcPr>
            <w:tcW w:type="dxa" w:w="4968"/>
            <w:vAlign w:val="center"/>
            <w:shd w:fill="12345A"/>
          </w:tcPr>
          <w:p>
            <w:pPr>
              <w:spacing w:after="60"/>
            </w:pPr>
            <w:r>
              <w:rPr>
                <w:b/>
                <w:color w:val="FFFFFF"/>
                <w:sz w:val="18"/>
              </w:rPr>
              <w:t>System behavior</w:t>
            </w:r>
          </w:p>
        </w:tc>
      </w:tr>
      <w:tr>
        <w:tc>
          <w:tcPr>
            <w:tcW w:type="dxa" w:w="4968"/>
            <w:vAlign w:val="center"/>
            <w:shd w:fill="F0F4F8"/>
          </w:tcPr>
          <w:p>
            <w:pPr>
              <w:spacing w:after="60"/>
            </w:pPr>
            <w:r>
              <w:rPr>
                <w:sz w:val="18"/>
              </w:rPr>
              <w:t>Preference capture</w:t>
            </w:r>
          </w:p>
        </w:tc>
        <w:tc>
          <w:tcPr>
            <w:tcW w:type="dxa" w:w="4968"/>
            <w:vAlign w:val="center"/>
            <w:shd w:fill="F0F4F8"/>
          </w:tcPr>
          <w:p>
            <w:pPr>
              <w:spacing w:after="60"/>
            </w:pPr>
            <w:r>
              <w:rPr>
                <w:sz w:val="18"/>
              </w:rPr>
              <w:t>Recognize supported cause, program, and location terms; retain unchanged session preferences.</w:t>
            </w:r>
          </w:p>
        </w:tc>
      </w:tr>
      <w:tr>
        <w:tc>
          <w:tcPr>
            <w:tcW w:type="dxa" w:w="4968"/>
            <w:vAlign w:val="center"/>
          </w:tcPr>
          <w:p>
            <w:pPr>
              <w:spacing w:after="60"/>
            </w:pPr>
            <w:r>
              <w:rPr>
                <w:sz w:val="18"/>
              </w:rPr>
              <w:t>Clarification</w:t>
            </w:r>
          </w:p>
        </w:tc>
        <w:tc>
          <w:tcPr>
            <w:tcW w:type="dxa" w:w="4968"/>
            <w:vAlign w:val="center"/>
          </w:tcPr>
          <w:p>
            <w:pPr>
              <w:spacing w:after="60"/>
            </w:pPr>
            <w:r>
              <w:rPr>
                <w:sz w:val="18"/>
              </w:rPr>
              <w:t>Ask for cause or program detail when the request is missing or broad; accept a no-preference response where supported.</w:t>
            </w:r>
          </w:p>
        </w:tc>
      </w:tr>
      <w:tr>
        <w:tc>
          <w:tcPr>
            <w:tcW w:type="dxa" w:w="4968"/>
            <w:vAlign w:val="center"/>
            <w:shd w:fill="F0F4F8"/>
          </w:tcPr>
          <w:p>
            <w:pPr>
              <w:spacing w:after="60"/>
            </w:pPr>
            <w:r>
              <w:rPr>
                <w:sz w:val="18"/>
              </w:rPr>
              <w:t>Search and comparison</w:t>
            </w:r>
          </w:p>
        </w:tc>
        <w:tc>
          <w:tcPr>
            <w:tcW w:type="dxa" w:w="4968"/>
            <w:vAlign w:val="center"/>
            <w:shd w:fill="F0F4F8"/>
          </w:tcPr>
          <w:p>
            <w:pPr>
              <w:spacing w:after="60"/>
            </w:pPr>
            <w:r>
              <w:rPr>
                <w:sz w:val="18"/>
              </w:rPr>
              <w:t>Filter by stated preferences and let the user browse and compare up to three records.</w:t>
            </w:r>
          </w:p>
        </w:tc>
      </w:tr>
      <w:tr>
        <w:tc>
          <w:tcPr>
            <w:tcW w:type="dxa" w:w="4968"/>
            <w:vAlign w:val="center"/>
          </w:tcPr>
          <w:p>
            <w:pPr>
              <w:spacing w:after="60"/>
            </w:pPr>
            <w:r>
              <w:rPr>
                <w:sz w:val="18"/>
              </w:rPr>
              <w:t>Transparency</w:t>
            </w:r>
          </w:p>
        </w:tc>
        <w:tc>
          <w:tcPr>
            <w:tcW w:type="dxa" w:w="4968"/>
            <w:vAlign w:val="center"/>
          </w:tcPr>
          <w:p>
            <w:pPr>
              <w:spacing w:after="60"/>
            </w:pPr>
            <w:r>
              <w:rPr>
                <w:sz w:val="18"/>
              </w:rPr>
              <w:t>Show source links/dates and state that suggestions reflect the sample records, not ratings or guarantees.</w:t>
            </w:r>
          </w:p>
        </w:tc>
      </w:tr>
      <w:tr>
        <w:tc>
          <w:tcPr>
            <w:tcW w:type="dxa" w:w="4968"/>
            <w:vAlign w:val="center"/>
            <w:shd w:fill="F0F4F8"/>
          </w:tcPr>
          <w:p>
            <w:pPr>
              <w:spacing w:after="60"/>
            </w:pPr>
            <w:r>
              <w:rPr>
                <w:sz w:val="18"/>
              </w:rPr>
              <w:t>Local data management</w:t>
            </w:r>
          </w:p>
        </w:tc>
        <w:tc>
          <w:tcPr>
            <w:tcW w:type="dxa" w:w="4968"/>
            <w:vAlign w:val="center"/>
            <w:shd w:fill="F0F4F8"/>
          </w:tcPr>
          <w:p>
            <w:pPr>
              <w:spacing w:after="60"/>
            </w:pPr>
            <w:r>
              <w:rPr>
                <w:sz w:val="18"/>
              </w:rPr>
              <w:t>Allow the owner to add, edit, or delete local records with validation and deletion confirmation.</w:t>
            </w:r>
          </w:p>
        </w:tc>
      </w:tr>
      <w:tr>
        <w:tc>
          <w:tcPr>
            <w:tcW w:type="dxa" w:w="4968"/>
            <w:vAlign w:val="center"/>
          </w:tcPr>
          <w:p>
            <w:pPr>
              <w:spacing w:after="60"/>
            </w:pPr>
            <w:r>
              <w:rPr>
                <w:sz w:val="18"/>
              </w:rPr>
              <w:t>Failure handling</w:t>
            </w:r>
          </w:p>
        </w:tc>
        <w:tc>
          <w:tcPr>
            <w:tcW w:type="dxa" w:w="4968"/>
            <w:vAlign w:val="center"/>
          </w:tcPr>
          <w:p>
            <w:pPr>
              <w:spacing w:after="60"/>
            </w:pPr>
            <w:r>
              <w:rPr>
                <w:sz w:val="18"/>
              </w:rPr>
              <w:t>Continue with deterministic behavior if optional Ollama is unavailable.</w:t>
            </w:r>
          </w:p>
        </w:tc>
      </w:tr>
    </w:tbl>
    <w:p>
      <w:pPr>
        <w:widowControl/>
      </w:pPr>
    </w:p>
    <w:p>
      <w:pPr>
        <w:pStyle w:val="Heading1"/>
        <w:widowControl/>
      </w:pPr>
      <w:r>
        <w:t>4. Scope and Limitations</w:t>
      </w:r>
    </w:p>
    <w:p>
      <w:pPr>
        <w:widowControl/>
      </w:pPr>
      <w:r>
        <w:t>The implemented scope includes one user-facing assistant, curated local search, transparent comparison, a local SQLite store, editable records, a high-level action trace, and optional local model integration. Actions are limited to reading and updating local project data. The agent does not donate, contact NGOs, perform payments, certify organizations, or make claims of independently verified impact.</w:t>
      </w:r>
    </w:p>
    <w:p>
      <w:pPr>
        <w:widowControl/>
      </w:pPr>
      <w:r>
        <w:t>The bundled CSV contains 12 starter records. Coverage labels are broad where exact operating locations have not been confirmed. The sample is not comprehensive, source links are not automatically checked, and the optional model’s generated output was not evaluated in the recorded test run. No user study or real-world donation outcome analysis has been conducted.</w:t>
      </w:r>
    </w:p>
    <w:p>
      <w:pPr>
        <w:pStyle w:val="Heading1"/>
        <w:widowControl/>
      </w:pPr>
      <w:r>
        <w:t>5. System Architecture</w:t>
      </w:r>
    </w:p>
    <w:p>
      <w:pPr>
        <w:widowControl/>
      </w:pPr>
      <w:r>
        <w:t>The Streamlit interface passes the donor’s text and current session preferences to the agent workflow. The bounded controller parses supported preference terms, decides whether to clarify or search, queries the local SQLite records, applies transparent filters, and returns results. The optional Ollama call is restricted to preference normalization and summaries based on retrieved records. The database editor writes locally and preserves existing user records when starter data is introduced.</w:t>
      </w:r>
    </w:p>
    <w:tbl>
      <w:tblPr>
        <w:tblStyle w:val="TableGrid"/>
        <w:tblW w:type="auto" w:w="0"/>
        <w:jc w:val="center"/>
        <w:tblLook w:firstColumn="1" w:firstRow="1" w:lastColumn="0" w:lastRow="0" w:noHBand="0" w:noVBand="1" w:val="04A0"/>
      </w:tblPr>
      <w:tblGrid>
        <w:gridCol w:w="4968"/>
        <w:gridCol w:w="4968"/>
      </w:tblGrid>
      <w:tr>
        <w:tc>
          <w:tcPr>
            <w:tcW w:type="dxa" w:w="4968"/>
            <w:vAlign w:val="center"/>
            <w:shd w:fill="12345A"/>
          </w:tcPr>
          <w:p>
            <w:pPr>
              <w:spacing w:after="60"/>
            </w:pPr>
            <w:r>
              <w:rPr>
                <w:b/>
                <w:color w:val="FFFFFF"/>
                <w:sz w:val="18"/>
              </w:rPr>
              <w:t>Component</w:t>
            </w:r>
          </w:p>
        </w:tc>
        <w:tc>
          <w:tcPr>
            <w:tcW w:type="dxa" w:w="4968"/>
            <w:vAlign w:val="center"/>
            <w:shd w:fill="12345A"/>
          </w:tcPr>
          <w:p>
            <w:pPr>
              <w:spacing w:after="60"/>
            </w:pPr>
            <w:r>
              <w:rPr>
                <w:b/>
                <w:color w:val="FFFFFF"/>
                <w:sz w:val="18"/>
              </w:rPr>
              <w:t>Responsibility</w:t>
            </w:r>
          </w:p>
        </w:tc>
      </w:tr>
      <w:tr>
        <w:tc>
          <w:tcPr>
            <w:tcW w:type="dxa" w:w="4968"/>
            <w:vAlign w:val="center"/>
            <w:shd w:fill="F0F4F8"/>
          </w:tcPr>
          <w:p>
            <w:pPr>
              <w:spacing w:after="60"/>
            </w:pPr>
            <w:r>
              <w:rPr>
                <w:sz w:val="18"/>
              </w:rPr>
              <w:t>Streamlit interface</w:t>
            </w:r>
          </w:p>
        </w:tc>
        <w:tc>
          <w:tcPr>
            <w:tcW w:type="dxa" w:w="4968"/>
            <w:vAlign w:val="center"/>
            <w:shd w:fill="F0F4F8"/>
          </w:tcPr>
          <w:p>
            <w:pPr>
              <w:spacing w:after="60"/>
            </w:pPr>
            <w:r>
              <w:rPr>
                <w:sz w:val="18"/>
              </w:rPr>
              <w:t>Assistant conversation, directory, comparison, local data editor, and action trace.</w:t>
            </w:r>
          </w:p>
        </w:tc>
      </w:tr>
      <w:tr>
        <w:tc>
          <w:tcPr>
            <w:tcW w:type="dxa" w:w="4968"/>
            <w:vAlign w:val="center"/>
          </w:tcPr>
          <w:p>
            <w:pPr>
              <w:spacing w:after="60"/>
            </w:pPr>
            <w:r>
              <w:rPr>
                <w:sz w:val="18"/>
              </w:rPr>
              <w:t>Agent controller (agent.py)</w:t>
            </w:r>
          </w:p>
        </w:tc>
        <w:tc>
          <w:tcPr>
            <w:tcW w:type="dxa" w:w="4968"/>
            <w:vAlign w:val="center"/>
          </w:tcPr>
          <w:p>
            <w:pPr>
              <w:spacing w:after="60"/>
            </w:pPr>
            <w:r>
              <w:rPr>
                <w:sz w:val="18"/>
              </w:rPr>
              <w:t>Preference aliases, clarification policy, strict search filtering, and bounded workflow decisions.</w:t>
            </w:r>
          </w:p>
        </w:tc>
      </w:tr>
      <w:tr>
        <w:tc>
          <w:tcPr>
            <w:tcW w:type="dxa" w:w="4968"/>
            <w:vAlign w:val="center"/>
            <w:shd w:fill="F0F4F8"/>
          </w:tcPr>
          <w:p>
            <w:pPr>
              <w:spacing w:after="60"/>
            </w:pPr>
            <w:r>
              <w:rPr>
                <w:sz w:val="18"/>
              </w:rPr>
              <w:t>SQLite repository</w:t>
            </w:r>
          </w:p>
        </w:tc>
        <w:tc>
          <w:tcPr>
            <w:tcW w:type="dxa" w:w="4968"/>
            <w:vAlign w:val="center"/>
            <w:shd w:fill="F0F4F8"/>
          </w:tcPr>
          <w:p>
            <w:pPr>
              <w:spacing w:after="60"/>
            </w:pPr>
            <w:r>
              <w:rPr>
                <w:sz w:val="18"/>
              </w:rPr>
              <w:t>Local persistence of curated and owner-maintained NGO records.</w:t>
            </w:r>
          </w:p>
        </w:tc>
      </w:tr>
      <w:tr>
        <w:tc>
          <w:tcPr>
            <w:tcW w:type="dxa" w:w="4968"/>
            <w:vAlign w:val="center"/>
          </w:tcPr>
          <w:p>
            <w:pPr>
              <w:spacing w:after="60"/>
            </w:pPr>
            <w:r>
              <w:rPr>
                <w:sz w:val="18"/>
              </w:rPr>
              <w:t>Optional Ollama integration</w:t>
            </w:r>
          </w:p>
        </w:tc>
        <w:tc>
          <w:tcPr>
            <w:tcW w:type="dxa" w:w="4968"/>
            <w:vAlign w:val="center"/>
          </w:tcPr>
          <w:p>
            <w:pPr>
              <w:spacing w:after="60"/>
            </w:pPr>
            <w:r>
              <w:rPr>
                <w:sz w:val="18"/>
              </w:rPr>
              <w:t>Local natural-language preference normalization and summaries grounded in retrieved records.</w:t>
            </w:r>
          </w:p>
        </w:tc>
      </w:tr>
      <w:tr>
        <w:tc>
          <w:tcPr>
            <w:tcW w:type="dxa" w:w="4968"/>
            <w:vAlign w:val="center"/>
            <w:shd w:fill="F0F4F8"/>
          </w:tcPr>
          <w:p>
            <w:pPr>
              <w:spacing w:after="60"/>
            </w:pPr>
            <w:r>
              <w:rPr>
                <w:sz w:val="18"/>
              </w:rPr>
              <w:t>CSV starter dataset</w:t>
            </w:r>
          </w:p>
        </w:tc>
        <w:tc>
          <w:tcPr>
            <w:tcW w:type="dxa" w:w="4968"/>
            <w:vAlign w:val="center"/>
            <w:shd w:fill="F0F4F8"/>
          </w:tcPr>
          <w:p>
            <w:pPr>
              <w:spacing w:after="60"/>
            </w:pPr>
            <w:r>
              <w:rPr>
                <w:sz w:val="18"/>
              </w:rPr>
              <w:t>12 sample records with cause, location, program, description, source, date, and notes.</w:t>
            </w:r>
          </w:p>
        </w:tc>
      </w:tr>
    </w:tbl>
    <w:p>
      <w:pPr>
        <w:widowControl/>
      </w:pPr>
    </w:p>
    <w:p>
      <w:pPr>
        <w:widowControl/>
      </w:pPr>
      <w:r>
        <w:t>Workflow: Donor request → parse preferences and session context → clarify if needed → search local records → compare and explain matches → show sources and limitations → observe preference updates and refresh.</w:t>
      </w:r>
    </w:p>
    <w:p>
      <w:pPr>
        <w:pStyle w:val="Heading1"/>
        <w:widowControl/>
      </w:pPr>
      <w:r>
        <w:t>6. Implementation Summary</w:t>
      </w:r>
    </w:p>
    <w:p>
      <w:pPr>
        <w:widowControl/>
      </w:pPr>
      <w:r>
        <w:t>The project uses Python and Streamlit, with a separate agent.py module for testable decision logic. NGO records are supplied in data/ngo_dataset.csv and stored in a local SQLite database at runtime. The assistant recognizes aliases for supported causes, program types, Indian states, and selected cities. Explicit location filters require a matching location label instead of treating a broad “multiple states” label as proof. A local language model is optional; deterministic parsing and summaries preserve the offline core workflow.</w:t>
      </w:r>
    </w:p>
    <w:p>
      <w:pPr>
        <w:widowControl/>
      </w:pPr>
      <w:r>
        <w:t>The app also provides directory browsing and side-by-side comparison, record management with validation, a confirmation step before deletion, migration that preserves existing local rows, and a visible high-level trace of agent actions. The trace reports selected actions and model/fallback status without exposing private reasoning text.</w:t>
      </w:r>
    </w:p>
    <w:p>
      <w:pPr>
        <w:pStyle w:val="Heading1"/>
        <w:widowControl/>
      </w:pPr>
      <w:r>
        <w:t>7. Testing and Evaluation</w:t>
      </w:r>
    </w:p>
    <w:p>
      <w:pPr>
        <w:widowControl/>
      </w:pPr>
      <w:r>
        <w:t>The recorded automated run used Python 3.14.7 and completed 15 tests with 15 passes and 0 failures. Tests cover preference aliases and session updates, clarification and matching rules, Streamlit flows, comparison and data management, SQLite migration, and fallback when the local Ollama endpoint is unavailable.</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vAlign w:val="center"/>
            <w:shd w:fill="12345A"/>
          </w:tcPr>
          <w:p>
            <w:pPr>
              <w:spacing w:after="60"/>
            </w:pPr>
            <w:r>
              <w:rPr>
                <w:b/>
                <w:color w:val="FFFFFF"/>
                <w:sz w:val="18"/>
              </w:rPr>
              <w:t>Test area</w:t>
            </w:r>
          </w:p>
        </w:tc>
        <w:tc>
          <w:tcPr>
            <w:tcW w:type="dxa" w:w="2484"/>
            <w:vAlign w:val="center"/>
            <w:shd w:fill="12345A"/>
          </w:tcPr>
          <w:p>
            <w:pPr>
              <w:spacing w:after="60"/>
            </w:pPr>
            <w:r>
              <w:rPr>
                <w:b/>
                <w:color w:val="FFFFFF"/>
                <w:sz w:val="18"/>
              </w:rPr>
              <w:t>Cases</w:t>
            </w:r>
          </w:p>
        </w:tc>
        <w:tc>
          <w:tcPr>
            <w:tcW w:type="dxa" w:w="2484"/>
            <w:vAlign w:val="center"/>
            <w:shd w:fill="12345A"/>
          </w:tcPr>
          <w:p>
            <w:pPr>
              <w:spacing w:after="60"/>
            </w:pPr>
            <w:r>
              <w:rPr>
                <w:b/>
                <w:color w:val="FFFFFF"/>
                <w:sz w:val="18"/>
              </w:rPr>
              <w:t>Passed</w:t>
            </w:r>
          </w:p>
        </w:tc>
        <w:tc>
          <w:tcPr>
            <w:tcW w:type="dxa" w:w="2484"/>
            <w:vAlign w:val="center"/>
            <w:shd w:fill="12345A"/>
          </w:tcPr>
          <w:p>
            <w:pPr>
              <w:spacing w:after="60"/>
            </w:pPr>
            <w:r>
              <w:rPr>
                <w:b/>
                <w:color w:val="FFFFFF"/>
                <w:sz w:val="18"/>
              </w:rPr>
              <w:t>Failed</w:t>
            </w:r>
          </w:p>
        </w:tc>
      </w:tr>
      <w:tr>
        <w:tc>
          <w:tcPr>
            <w:tcW w:type="dxa" w:w="2484"/>
            <w:vAlign w:val="center"/>
            <w:shd w:fill="F0F4F8"/>
          </w:tcPr>
          <w:p>
            <w:pPr>
              <w:spacing w:after="60"/>
            </w:pPr>
            <w:r>
              <w:rPr>
                <w:sz w:val="18"/>
              </w:rPr>
              <w:t>Preference aliases and session updates</w:t>
            </w:r>
          </w:p>
        </w:tc>
        <w:tc>
          <w:tcPr>
            <w:tcW w:type="dxa" w:w="2484"/>
            <w:vAlign w:val="center"/>
            <w:shd w:fill="F0F4F8"/>
          </w:tcPr>
          <w:p>
            <w:pPr>
              <w:spacing w:after="60"/>
            </w:pPr>
            <w:r>
              <w:rPr>
                <w:sz w:val="18"/>
              </w:rPr>
              <w:t>4</w:t>
            </w:r>
          </w:p>
        </w:tc>
        <w:tc>
          <w:tcPr>
            <w:tcW w:type="dxa" w:w="2484"/>
            <w:vAlign w:val="center"/>
            <w:shd w:fill="F0F4F8"/>
          </w:tcPr>
          <w:p>
            <w:pPr>
              <w:spacing w:after="60"/>
            </w:pPr>
            <w:r>
              <w:rPr>
                <w:sz w:val="18"/>
              </w:rPr>
              <w:t>4</w:t>
            </w:r>
          </w:p>
        </w:tc>
        <w:tc>
          <w:tcPr>
            <w:tcW w:type="dxa" w:w="2484"/>
            <w:vAlign w:val="center"/>
            <w:shd w:fill="F0F4F8"/>
          </w:tcPr>
          <w:p>
            <w:pPr>
              <w:spacing w:after="60"/>
            </w:pPr>
            <w:r>
              <w:rPr>
                <w:sz w:val="18"/>
              </w:rPr>
              <w:t>0</w:t>
            </w:r>
          </w:p>
        </w:tc>
      </w:tr>
      <w:tr>
        <w:tc>
          <w:tcPr>
            <w:tcW w:type="dxa" w:w="2484"/>
            <w:vAlign w:val="center"/>
          </w:tcPr>
          <w:p>
            <w:pPr>
              <w:spacing w:after="60"/>
            </w:pPr>
            <w:r>
              <w:rPr>
                <w:sz w:val="18"/>
              </w:rPr>
              <w:t>Clarification and matching rules</w:t>
            </w:r>
          </w:p>
        </w:tc>
        <w:tc>
          <w:tcPr>
            <w:tcW w:type="dxa" w:w="2484"/>
            <w:vAlign w:val="center"/>
          </w:tcPr>
          <w:p>
            <w:pPr>
              <w:spacing w:after="60"/>
            </w:pPr>
            <w:r>
              <w:rPr>
                <w:sz w:val="18"/>
              </w:rPr>
              <w:t>5</w:t>
            </w:r>
          </w:p>
        </w:tc>
        <w:tc>
          <w:tcPr>
            <w:tcW w:type="dxa" w:w="2484"/>
            <w:vAlign w:val="center"/>
          </w:tcPr>
          <w:p>
            <w:pPr>
              <w:spacing w:after="60"/>
            </w:pPr>
            <w:r>
              <w:rPr>
                <w:sz w:val="18"/>
              </w:rPr>
              <w:t>5</w:t>
            </w:r>
          </w:p>
        </w:tc>
        <w:tc>
          <w:tcPr>
            <w:tcW w:type="dxa" w:w="2484"/>
            <w:vAlign w:val="center"/>
          </w:tcPr>
          <w:p>
            <w:pPr>
              <w:spacing w:after="60"/>
            </w:pPr>
            <w:r>
              <w:rPr>
                <w:sz w:val="18"/>
              </w:rPr>
              <w:t>0</w:t>
            </w:r>
          </w:p>
        </w:tc>
      </w:tr>
      <w:tr>
        <w:tc>
          <w:tcPr>
            <w:tcW w:type="dxa" w:w="2484"/>
            <w:vAlign w:val="center"/>
            <w:shd w:fill="F0F4F8"/>
          </w:tcPr>
          <w:p>
            <w:pPr>
              <w:spacing w:after="60"/>
            </w:pPr>
            <w:r>
              <w:rPr>
                <w:sz w:val="18"/>
              </w:rPr>
              <w:t>Streamlit assistant, browsing, editing, migration, and fallback</w:t>
            </w:r>
          </w:p>
        </w:tc>
        <w:tc>
          <w:tcPr>
            <w:tcW w:type="dxa" w:w="2484"/>
            <w:vAlign w:val="center"/>
            <w:shd w:fill="F0F4F8"/>
          </w:tcPr>
          <w:p>
            <w:pPr>
              <w:spacing w:after="60"/>
            </w:pPr>
            <w:r>
              <w:rPr>
                <w:sz w:val="18"/>
              </w:rPr>
              <w:t>6</w:t>
            </w:r>
          </w:p>
        </w:tc>
        <w:tc>
          <w:tcPr>
            <w:tcW w:type="dxa" w:w="2484"/>
            <w:vAlign w:val="center"/>
            <w:shd w:fill="F0F4F8"/>
          </w:tcPr>
          <w:p>
            <w:pPr>
              <w:spacing w:after="60"/>
            </w:pPr>
            <w:r>
              <w:rPr>
                <w:sz w:val="18"/>
              </w:rPr>
              <w:t>6</w:t>
            </w:r>
          </w:p>
        </w:tc>
        <w:tc>
          <w:tcPr>
            <w:tcW w:type="dxa" w:w="2484"/>
            <w:vAlign w:val="center"/>
            <w:shd w:fill="F0F4F8"/>
          </w:tcPr>
          <w:p>
            <w:pPr>
              <w:spacing w:after="60"/>
            </w:pPr>
            <w:r>
              <w:rPr>
                <w:sz w:val="18"/>
              </w:rPr>
              <w:t>0</w:t>
            </w:r>
          </w:p>
        </w:tc>
      </w:tr>
      <w:tr>
        <w:tc>
          <w:tcPr>
            <w:tcW w:type="dxa" w:w="2484"/>
            <w:vAlign w:val="center"/>
          </w:tcPr>
          <w:p>
            <w:pPr>
              <w:spacing w:after="60"/>
            </w:pPr>
            <w:r>
              <w:rPr>
                <w:sz w:val="18"/>
              </w:rPr>
              <w:t>Total</w:t>
            </w:r>
          </w:p>
        </w:tc>
        <w:tc>
          <w:tcPr>
            <w:tcW w:type="dxa" w:w="2484"/>
            <w:vAlign w:val="center"/>
          </w:tcPr>
          <w:p>
            <w:pPr>
              <w:spacing w:after="60"/>
            </w:pPr>
            <w:r>
              <w:rPr>
                <w:sz w:val="18"/>
              </w:rPr>
              <w:t>15</w:t>
            </w:r>
          </w:p>
        </w:tc>
        <w:tc>
          <w:tcPr>
            <w:tcW w:type="dxa" w:w="2484"/>
            <w:vAlign w:val="center"/>
          </w:tcPr>
          <w:p>
            <w:pPr>
              <w:spacing w:after="60"/>
            </w:pPr>
            <w:r>
              <w:rPr>
                <w:sz w:val="18"/>
              </w:rPr>
              <w:t>15</w:t>
            </w:r>
          </w:p>
        </w:tc>
        <w:tc>
          <w:tcPr>
            <w:tcW w:type="dxa" w:w="2484"/>
            <w:vAlign w:val="center"/>
          </w:tcPr>
          <w:p>
            <w:pPr>
              <w:spacing w:after="60"/>
            </w:pPr>
            <w:r>
              <w:rPr>
                <w:sz w:val="18"/>
              </w:rPr>
              <w:t>0</w:t>
            </w:r>
          </w:p>
        </w:tc>
      </w:tr>
    </w:tbl>
    <w:p>
      <w:pPr>
        <w:widowControl/>
      </w:pPr>
    </w:p>
    <w:p>
      <w:pPr>
        <w:widowControl/>
      </w:pPr>
      <w:r>
        <w:t>The result supports the claim that the tested software behaviors work for the included scenarios. It does not measure user satisfaction, data completeness, link availability, actual model output quality, recommendation fairness, or donation impact. The complete test record is in docs/test_results.md.</w:t>
      </w:r>
    </w:p>
    <w:p>
      <w:pPr>
        <w:pStyle w:val="Heading1"/>
        <w:widowControl/>
      </w:pPr>
      <w:r>
        <w:t>8. Conclusion and Future Work</w:t>
      </w:r>
    </w:p>
    <w:p>
      <w:pPr>
        <w:widowControl/>
      </w:pPr>
      <w:r>
        <w:t>NGO ImpactGuide demonstrates a small, bounded agent workflow for donor preference clarification and evidence-linked search over local records. It is usable without a hosted model or backend, and its tests cover core paths and fallback behavior. The system remains a prototype because its sample data and tests do not establish comprehensive coverage or real-world trustworthiness.</w:t>
      </w:r>
    </w:p>
    <w:p>
      <w:pPr>
        <w:pStyle w:val="ListBullet"/>
        <w:widowControl/>
      </w:pPr>
      <w:r>
        <w:t>Review each source and update program and location records before a formal demonstration.</w:t>
      </w:r>
    </w:p>
    <w:p>
      <w:pPr>
        <w:pStyle w:val="ListBullet"/>
        <w:widowControl/>
      </w:pPr>
      <w:r>
        <w:t>Run a small usability study with representative donors and record completion and clarification outcomes.</w:t>
      </w:r>
    </w:p>
    <w:p>
      <w:pPr>
        <w:pStyle w:val="ListBullet"/>
        <w:widowControl/>
      </w:pPr>
      <w:r>
        <w:t>Test generated summaries with an installed Ollama model and a source-grounding checklist.</w:t>
      </w:r>
    </w:p>
    <w:p>
      <w:pPr>
        <w:pStyle w:val="ListBullet"/>
        <w:widowControl/>
      </w:pPr>
      <w:r>
        <w:t>Expand the directory only when each added record can be supported by reviewed sources.</w:t>
      </w:r>
    </w:p>
    <w:sectPr w:rsidR="00FC693F" w:rsidRPr="0006063C" w:rsidSect="00034616">
      <w:headerReference w:type="default" r:id="rId9"/>
      <w:footerReference w:type="default" r:id="rId10"/>
      <w:pgSz w:w="12240" w:h="15840"/>
      <w:pgMar w:top="1037" w:right="1152" w:bottom="979"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BE CSE Agentic AI Mini Project  |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NGO IMPACTGUIDE  |  PROJECT REPORT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232D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6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